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6233" w14:textId="6E19838C" w:rsidR="0010538F" w:rsidRPr="006B3DF1" w:rsidRDefault="0010538F" w:rsidP="0010538F">
      <w:pPr>
        <w:jc w:val="center"/>
        <w:rPr>
          <w:rFonts w:ascii="Arial" w:hAnsi="Arial" w:cs="Arial"/>
          <w:b/>
          <w:bCs/>
          <w:sz w:val="22"/>
          <w:szCs w:val="22"/>
        </w:rPr>
      </w:pPr>
      <w:bookmarkStart w:id="0" w:name="OLE_LINK78"/>
      <w:bookmarkStart w:id="1" w:name="OLE_LINK79"/>
      <w:bookmarkStart w:id="2" w:name="OLE_LINK86"/>
      <w:bookmarkStart w:id="3" w:name="OLE_LINK87"/>
      <w:r w:rsidRPr="006B3DF1">
        <w:rPr>
          <w:rFonts w:ascii="Arial" w:hAnsi="Arial" w:cs="Arial"/>
          <w:b/>
          <w:bCs/>
          <w:sz w:val="22"/>
          <w:szCs w:val="22"/>
        </w:rPr>
        <w:t xml:space="preserve">Additional </w:t>
      </w:r>
      <w:bookmarkEnd w:id="0"/>
      <w:bookmarkEnd w:id="1"/>
      <w:r w:rsidRPr="006B3DF1">
        <w:rPr>
          <w:rFonts w:ascii="Arial" w:hAnsi="Arial" w:cs="Arial"/>
          <w:b/>
          <w:bCs/>
          <w:sz w:val="22"/>
          <w:szCs w:val="22"/>
        </w:rPr>
        <w:t>Review Methods</w:t>
      </w:r>
    </w:p>
    <w:p w14:paraId="0A425E88" w14:textId="77777777" w:rsidR="0010538F" w:rsidRPr="006B3DF1" w:rsidRDefault="0010538F" w:rsidP="00173D58">
      <w:pPr>
        <w:rPr>
          <w:rFonts w:ascii="Arial" w:hAnsi="Arial" w:cs="Arial"/>
          <w:i/>
          <w:iCs/>
          <w:sz w:val="22"/>
          <w:szCs w:val="22"/>
        </w:rPr>
      </w:pPr>
    </w:p>
    <w:p w14:paraId="61BEF2BC" w14:textId="3E1A191E" w:rsidR="00173D58" w:rsidRPr="006B3DF1" w:rsidRDefault="00173D58" w:rsidP="00173D58">
      <w:pPr>
        <w:rPr>
          <w:rFonts w:ascii="Arial" w:hAnsi="Arial" w:cs="Arial"/>
          <w:i/>
          <w:iCs/>
          <w:sz w:val="22"/>
          <w:szCs w:val="22"/>
        </w:rPr>
      </w:pPr>
      <w:r w:rsidRPr="006B3DF1">
        <w:rPr>
          <w:rFonts w:ascii="Arial" w:hAnsi="Arial" w:cs="Arial"/>
          <w:i/>
          <w:iCs/>
          <w:sz w:val="22"/>
          <w:szCs w:val="22"/>
        </w:rPr>
        <w:t xml:space="preserve">Search methods and study </w:t>
      </w:r>
      <w:proofErr w:type="gramStart"/>
      <w:r w:rsidRPr="006B3DF1">
        <w:rPr>
          <w:rFonts w:ascii="Arial" w:hAnsi="Arial" w:cs="Arial"/>
          <w:i/>
          <w:iCs/>
          <w:sz w:val="22"/>
          <w:szCs w:val="22"/>
        </w:rPr>
        <w:t>selection</w:t>
      </w:r>
      <w:proofErr w:type="gramEnd"/>
    </w:p>
    <w:p w14:paraId="7572FF7E" w14:textId="77777777" w:rsidR="00173D58" w:rsidRPr="006B3DF1" w:rsidRDefault="00173D58" w:rsidP="00173D58">
      <w:pPr>
        <w:rPr>
          <w:rFonts w:ascii="Arial" w:hAnsi="Arial" w:cs="Arial"/>
          <w:sz w:val="22"/>
          <w:szCs w:val="22"/>
        </w:rPr>
      </w:pPr>
    </w:p>
    <w:p w14:paraId="57C085E0" w14:textId="0BC45FFF" w:rsidR="00173D58" w:rsidRPr="006B3DF1" w:rsidRDefault="00173D58" w:rsidP="00173D58">
      <w:pPr>
        <w:ind w:firstLine="720"/>
        <w:rPr>
          <w:rFonts w:ascii="Arial" w:hAnsi="Arial" w:cs="Arial"/>
          <w:sz w:val="22"/>
          <w:szCs w:val="22"/>
        </w:rPr>
      </w:pPr>
      <w:r w:rsidRPr="006B3DF1">
        <w:rPr>
          <w:rFonts w:ascii="Arial" w:hAnsi="Arial" w:cs="Arial"/>
          <w:sz w:val="22"/>
          <w:szCs w:val="22"/>
        </w:rPr>
        <w:t>We searched PubMed to identify relevant studies with keywords related to fluid preservation of brain tissue. We searched the PubMed database from its inception to</w:t>
      </w:r>
      <w:r w:rsidR="00392CF0" w:rsidRPr="006B3DF1">
        <w:rPr>
          <w:rFonts w:ascii="Arial" w:hAnsi="Arial" w:cs="Arial"/>
          <w:sz w:val="22"/>
          <w:szCs w:val="22"/>
        </w:rPr>
        <w:t xml:space="preserve"> Aug 4, 2023</w:t>
      </w:r>
      <w:r w:rsidRPr="006B3DF1">
        <w:rPr>
          <w:rFonts w:ascii="Arial" w:hAnsi="Arial" w:cs="Arial"/>
          <w:sz w:val="22"/>
          <w:szCs w:val="22"/>
        </w:rPr>
        <w:t xml:space="preserve">, using the following search terms: (brain OR "Brain"[Mesh] OR "nerve" OR "Nervous System"[Mesh]) AND (“fluid preservation” OR “liquid storage” OR “brain banking” OR formaldehyde OR formalin OR paraformaldehyde OR glutaraldehyde OR glyoxal OR acrolein) AND (storage OR stored OR conservation OR decades OR century OR museum OR indefinite OR repository OR prolonged OR archive OR archival OR archives OR ancient). Using SysRev, one reviewer screened the titles and abstracts and identified studies for full-text review based on pre-determined eligibility criteria </w:t>
      </w:r>
      <w:r w:rsidRPr="006B3DF1">
        <w:rPr>
          <w:rFonts w:ascii="Arial" w:hAnsi="Arial" w:cs="Arial"/>
          <w:sz w:val="22"/>
          <w:szCs w:val="22"/>
        </w:rPr>
        <w:fldChar w:fldCharType="begin"/>
      </w:r>
      <w:r w:rsidR="007369E2" w:rsidRPr="006B3DF1">
        <w:rPr>
          <w:rFonts w:ascii="Arial" w:hAnsi="Arial" w:cs="Arial"/>
          <w:sz w:val="22"/>
          <w:szCs w:val="22"/>
        </w:rPr>
        <w:instrText xml:space="preserve"> ADDIN ZOTERO_ITEM CSL_CITATION {"citationID":"a12qn7oni08","properties":{"formattedCitation":"(Bozada et al., 2021)","plainCitation":"(Bozada et al., 2021)","noteIndex":0},"citationItems":[{"id":4217,"uris":["http://zotero.org/users/4526670/items/3A6L3ITD"],"itemData":{"id":4217,"type":"article-journal","abstract":"Well-curated datasets are essential to evidence based decision making and to the integration of artificial intelligence with human reasoning across disciplines. However, many sources of data remain siloed, unstructured, and/or unavailable for complementary and secondary research. Sysrev was developed to address these issues. First, Sysrev was built to aid in systematic evidence reviews (SER), where digital documents are evaluated according to a well defined process, and where Sysrev provides an easy to access, publicly available and free platform for collaborating in SER projects. Secondly, Sysrev addresses the issue of unstructured, siloed, and inaccessible data in the context of generalized data extraction, where human and machine learning algorithms are combined to extract insights and evidence for better decision making across disciplines. Sysrev uses FAIR - Findability, Accessibility, Interoperability, and Reuse of digital assets - as primary principles in design. Sysrev was developed primarily because of an observed need to reduce redundancy, reduce inefficient use of human time and increase the impact of evidence based decision making. This publication is an introduction to Sysrev as a novel technology, with an overview of the features, motivations and use cases of the tool. Methods: Sysrev. com is a FAIR motivated web platform for data curation and SER. Sysrev allows users to create data curation projects called \"sysrevs\" wherein users upload documents, define review tasks, recruit reviewers, perform review tasks, and automate review tasks. Conclusion: Sysrev is a web application designed to facilitate data curation and SERs. Thousands of publicly accessible Sysrev projects have been created, accommodating research in a wide variety of disciplines. Described use cases include data curation, managed reviews, and SERs.","container-title":"Frontiers in Artificial Intelligence","DOI":"10.3389/frai.2021.685298","ISSN":"2624-8212","journalAbbreviation":"Front Artif Intell","language":"eng","note":"PMID: 34423285\nPMCID: PMC8374944","page":"685298","source":"PubMed","title":"Sysrev: A FAIR Platform for Data Curation and Systematic Evidence Review","title-short":"Sysrev","volume":"4","author":[{"family":"Bozada","given":"Thomas"},{"family":"Borden","given":"James"},{"family":"Workman","given":"Jeffrey"},{"family":"Del Cid","given":"Mardo"},{"family":"Malinowski","given":"Jennifer"},{"family":"Luechtefeld","given":"Thomas"}],"issued":{"date-parts":[["2021"]]},"citation-key":"bozadaSysrevFAIRPlatform2021"}}],"schema":"https://github.com/citation-style-language/schema/raw/master/csl-citation.json"} </w:instrText>
      </w:r>
      <w:r w:rsidRPr="006B3DF1">
        <w:rPr>
          <w:rFonts w:ascii="Arial" w:hAnsi="Arial" w:cs="Arial"/>
          <w:sz w:val="22"/>
          <w:szCs w:val="22"/>
        </w:rPr>
        <w:fldChar w:fldCharType="separate"/>
      </w:r>
      <w:r w:rsidR="007369E2" w:rsidRPr="006B3DF1">
        <w:rPr>
          <w:rFonts w:ascii="Arial" w:hAnsi="Arial" w:cs="Arial"/>
          <w:sz w:val="22"/>
          <w:szCs w:val="22"/>
        </w:rPr>
        <w:t>(Bozada et al., 2021)</w:t>
      </w:r>
      <w:r w:rsidRPr="006B3DF1">
        <w:rPr>
          <w:rFonts w:ascii="Arial" w:hAnsi="Arial" w:cs="Arial"/>
          <w:sz w:val="22"/>
          <w:szCs w:val="22"/>
        </w:rPr>
        <w:fldChar w:fldCharType="end"/>
      </w:r>
      <w:r w:rsidRPr="006B3DF1">
        <w:rPr>
          <w:rFonts w:ascii="Arial" w:hAnsi="Arial" w:cs="Arial"/>
          <w:sz w:val="22"/>
          <w:szCs w:val="22"/>
        </w:rPr>
        <w:t>. Next, the same reviewer evaluated the full texts and selected studies to include. To find to find additional eligible studies, we hand-searched the reference lists and referencing studies of the most relevant papers. Any studies meeting the inclusion criteria that were identified outside the formal search process, such as in the initial literature scoping process, were also included.</w:t>
      </w:r>
    </w:p>
    <w:p w14:paraId="0FDCBB05" w14:textId="77777777" w:rsidR="00173D58" w:rsidRPr="006B3DF1" w:rsidRDefault="00173D58" w:rsidP="00173D58">
      <w:pPr>
        <w:rPr>
          <w:rFonts w:ascii="Arial" w:hAnsi="Arial" w:cs="Arial"/>
          <w:sz w:val="22"/>
          <w:szCs w:val="22"/>
        </w:rPr>
      </w:pPr>
    </w:p>
    <w:p w14:paraId="21FF5DB9" w14:textId="77777777" w:rsidR="00173D58" w:rsidRPr="006B3DF1" w:rsidRDefault="00173D58" w:rsidP="00173D58">
      <w:pPr>
        <w:rPr>
          <w:rFonts w:ascii="Arial" w:hAnsi="Arial" w:cs="Arial"/>
          <w:i/>
          <w:iCs/>
          <w:sz w:val="22"/>
          <w:szCs w:val="22"/>
        </w:rPr>
      </w:pPr>
      <w:r w:rsidRPr="006B3DF1">
        <w:rPr>
          <w:rFonts w:ascii="Arial" w:hAnsi="Arial" w:cs="Arial"/>
          <w:i/>
          <w:iCs/>
          <w:sz w:val="22"/>
          <w:szCs w:val="22"/>
        </w:rPr>
        <w:t xml:space="preserve">Eligibility criteria </w:t>
      </w:r>
    </w:p>
    <w:p w14:paraId="5CBB50CE" w14:textId="77777777" w:rsidR="00173D58" w:rsidRPr="006B3DF1" w:rsidRDefault="00173D58" w:rsidP="00173D58">
      <w:pPr>
        <w:rPr>
          <w:rFonts w:ascii="Arial" w:hAnsi="Arial" w:cs="Arial"/>
          <w:sz w:val="22"/>
          <w:szCs w:val="22"/>
        </w:rPr>
      </w:pPr>
    </w:p>
    <w:p w14:paraId="1917DD6F" w14:textId="77777777" w:rsidR="00173D58" w:rsidRPr="006B3DF1" w:rsidRDefault="00173D58" w:rsidP="00173D58">
      <w:pPr>
        <w:ind w:firstLine="720"/>
        <w:rPr>
          <w:rFonts w:ascii="Arial" w:hAnsi="Arial" w:cs="Arial"/>
          <w:sz w:val="22"/>
          <w:szCs w:val="22"/>
        </w:rPr>
      </w:pPr>
      <w:r w:rsidRPr="006B3DF1">
        <w:rPr>
          <w:rFonts w:ascii="Arial" w:hAnsi="Arial" w:cs="Arial"/>
          <w:sz w:val="22"/>
          <w:szCs w:val="22"/>
        </w:rPr>
        <w:t>To be formally included in this review, studies needed to report original empirical data relevant to the effects of different methods of brain tissue fluid preservation on histological and morphological integrity. More specifically, we included studies that met the following criteria:</w:t>
      </w:r>
    </w:p>
    <w:p w14:paraId="4396A2B2" w14:textId="77777777" w:rsidR="00173D58" w:rsidRPr="006B3DF1" w:rsidRDefault="00173D58" w:rsidP="00173D58">
      <w:pPr>
        <w:rPr>
          <w:rFonts w:ascii="Arial" w:hAnsi="Arial" w:cs="Arial"/>
          <w:sz w:val="22"/>
          <w:szCs w:val="22"/>
        </w:rPr>
      </w:pPr>
    </w:p>
    <w:p w14:paraId="04EC696C" w14:textId="77777777" w:rsidR="00173D58" w:rsidRPr="006B3DF1" w:rsidRDefault="00173D58" w:rsidP="00173D58">
      <w:pPr>
        <w:pStyle w:val="ListParagraph"/>
        <w:numPr>
          <w:ilvl w:val="0"/>
          <w:numId w:val="1"/>
        </w:numPr>
        <w:rPr>
          <w:rFonts w:ascii="Arial" w:hAnsi="Arial" w:cs="Arial"/>
          <w:sz w:val="22"/>
          <w:szCs w:val="22"/>
        </w:rPr>
      </w:pPr>
      <w:r w:rsidRPr="006B3DF1">
        <w:rPr>
          <w:rFonts w:ascii="Arial" w:hAnsi="Arial" w:cs="Arial"/>
          <w:sz w:val="22"/>
          <w:szCs w:val="22"/>
        </w:rPr>
        <w:t>Examined preservation of brain or nervous system tissue in a liquid state.</w:t>
      </w:r>
    </w:p>
    <w:p w14:paraId="7C951724" w14:textId="77777777" w:rsidR="00173D58" w:rsidRPr="006B3DF1" w:rsidRDefault="00173D58" w:rsidP="00173D58">
      <w:pPr>
        <w:pStyle w:val="ListParagraph"/>
        <w:numPr>
          <w:ilvl w:val="0"/>
          <w:numId w:val="1"/>
        </w:numPr>
        <w:rPr>
          <w:rFonts w:ascii="Arial" w:hAnsi="Arial" w:cs="Arial"/>
          <w:sz w:val="22"/>
          <w:szCs w:val="22"/>
        </w:rPr>
      </w:pPr>
      <w:r w:rsidRPr="006B3DF1">
        <w:rPr>
          <w:rFonts w:ascii="Arial" w:hAnsi="Arial" w:cs="Arial"/>
          <w:sz w:val="22"/>
          <w:szCs w:val="22"/>
        </w:rPr>
        <w:t>Assessed histological and/or morphological preservation through microscopy or other structural analysis methods.</w:t>
      </w:r>
    </w:p>
    <w:p w14:paraId="7EA5C825" w14:textId="77777777" w:rsidR="00173D58" w:rsidRPr="006B3DF1" w:rsidRDefault="00173D58" w:rsidP="00173D58">
      <w:pPr>
        <w:pStyle w:val="ListParagraph"/>
        <w:numPr>
          <w:ilvl w:val="0"/>
          <w:numId w:val="1"/>
        </w:numPr>
        <w:rPr>
          <w:rFonts w:ascii="Arial" w:hAnsi="Arial" w:cs="Arial"/>
          <w:sz w:val="22"/>
          <w:szCs w:val="22"/>
        </w:rPr>
      </w:pPr>
      <w:r w:rsidRPr="006B3DF1">
        <w:rPr>
          <w:rFonts w:ascii="Arial" w:hAnsi="Arial" w:cs="Arial"/>
          <w:sz w:val="22"/>
          <w:szCs w:val="22"/>
        </w:rPr>
        <w:t>Had a minimum preservation duration of 4 weeks.</w:t>
      </w:r>
    </w:p>
    <w:p w14:paraId="38FC2E40" w14:textId="77777777" w:rsidR="00173D58" w:rsidRPr="006B3DF1" w:rsidRDefault="00173D58" w:rsidP="00173D58">
      <w:pPr>
        <w:ind w:firstLine="720"/>
        <w:rPr>
          <w:rFonts w:ascii="Arial" w:hAnsi="Arial" w:cs="Arial"/>
          <w:sz w:val="22"/>
          <w:szCs w:val="22"/>
        </w:rPr>
      </w:pPr>
    </w:p>
    <w:p w14:paraId="3D871C00" w14:textId="77777777" w:rsidR="00173D58" w:rsidRPr="006B3DF1" w:rsidRDefault="00173D58" w:rsidP="00173D58">
      <w:pPr>
        <w:ind w:firstLine="720"/>
        <w:rPr>
          <w:rFonts w:ascii="Arial" w:hAnsi="Arial" w:cs="Arial"/>
          <w:sz w:val="22"/>
          <w:szCs w:val="22"/>
        </w:rPr>
      </w:pPr>
      <w:r w:rsidRPr="006B3DF1">
        <w:rPr>
          <w:rFonts w:ascii="Arial" w:hAnsi="Arial" w:cs="Arial"/>
          <w:sz w:val="22"/>
          <w:szCs w:val="22"/>
        </w:rPr>
        <w:t xml:space="preserve">We focused on structural and morphological integrity rather than biomolecular preservation alone. Therefore, studies utilizing only neuroimaging without cellular histological analysis were excluded, as were studies focused solely on biomolecular preservation without histological or morphological assessment. Both human and animal studies were eligible for inclusion. If multiple publications reported on the same underlying data, we included the study that drew the most relevant conclusions about preservation effects. </w:t>
      </w:r>
    </w:p>
    <w:p w14:paraId="034A022C" w14:textId="77777777" w:rsidR="00173D58" w:rsidRPr="006B3DF1" w:rsidRDefault="00173D58" w:rsidP="00173D58">
      <w:pPr>
        <w:rPr>
          <w:rFonts w:ascii="Arial" w:hAnsi="Arial" w:cs="Arial"/>
          <w:i/>
          <w:iCs/>
          <w:sz w:val="22"/>
          <w:szCs w:val="22"/>
        </w:rPr>
      </w:pPr>
    </w:p>
    <w:p w14:paraId="4942011D" w14:textId="77777777" w:rsidR="00173D58" w:rsidRPr="006B3DF1" w:rsidRDefault="00173D58" w:rsidP="00173D58">
      <w:pPr>
        <w:rPr>
          <w:rFonts w:ascii="Arial" w:hAnsi="Arial" w:cs="Arial"/>
          <w:i/>
          <w:iCs/>
          <w:sz w:val="22"/>
          <w:szCs w:val="22"/>
        </w:rPr>
      </w:pPr>
      <w:r w:rsidRPr="006B3DF1">
        <w:rPr>
          <w:rFonts w:ascii="Arial" w:hAnsi="Arial" w:cs="Arial"/>
          <w:i/>
          <w:iCs/>
          <w:sz w:val="22"/>
          <w:szCs w:val="22"/>
        </w:rPr>
        <w:t xml:space="preserve">Data extraction </w:t>
      </w:r>
    </w:p>
    <w:p w14:paraId="0431990C" w14:textId="77777777" w:rsidR="00173D58" w:rsidRPr="006B3DF1" w:rsidRDefault="00173D58" w:rsidP="00173D58">
      <w:pPr>
        <w:rPr>
          <w:rFonts w:ascii="Arial" w:hAnsi="Arial" w:cs="Arial"/>
          <w:i/>
          <w:iCs/>
          <w:sz w:val="22"/>
          <w:szCs w:val="22"/>
        </w:rPr>
      </w:pPr>
    </w:p>
    <w:p w14:paraId="7DC90DDD" w14:textId="14E29CCC" w:rsidR="00173D58" w:rsidRPr="006B3DF1" w:rsidRDefault="00173D58" w:rsidP="00173D58">
      <w:pPr>
        <w:ind w:firstLine="720"/>
        <w:rPr>
          <w:rFonts w:ascii="Arial" w:hAnsi="Arial" w:cs="Arial"/>
          <w:sz w:val="22"/>
          <w:szCs w:val="22"/>
        </w:rPr>
      </w:pPr>
      <w:r w:rsidRPr="006B3DF1">
        <w:rPr>
          <w:rFonts w:ascii="Arial" w:hAnsi="Arial" w:cs="Arial"/>
          <w:sz w:val="22"/>
          <w:szCs w:val="22"/>
        </w:rPr>
        <w:t>For each included study, we extract</w:t>
      </w:r>
      <w:r w:rsidR="0032770A" w:rsidRPr="006B3DF1">
        <w:rPr>
          <w:rFonts w:ascii="Arial" w:hAnsi="Arial" w:cs="Arial"/>
          <w:sz w:val="22"/>
          <w:szCs w:val="22"/>
        </w:rPr>
        <w:t>ed</w:t>
      </w:r>
      <w:r w:rsidRPr="006B3DF1">
        <w:rPr>
          <w:rFonts w:ascii="Arial" w:hAnsi="Arial" w:cs="Arial"/>
          <w:sz w:val="22"/>
          <w:szCs w:val="22"/>
        </w:rPr>
        <w:t xml:space="preserve"> relevant data on the method of fluid preservation, such as the preservative fluid used, the storage conditions, the storage duration, the visualization method, and the histological/morphological outcome(s) described. We treated each distinct preservation condition, duration, or visualization method reported in a study as a separate "observation." For example, if a study reported outcomes for tissue stored in two different fluids, these were recorded as two observations. However, minor variations in otherwise highly similar preservation conditions or visualization methods from the same study were grouped into a single observation. The determination of whether two similar preservation conditions or visualization methods should be grouped into one observation or separated was based on an assessment of the level of detail and independence reported for each in the text.</w:t>
      </w:r>
    </w:p>
    <w:p w14:paraId="2525D371" w14:textId="77777777" w:rsidR="00173D58" w:rsidRPr="006B3DF1" w:rsidRDefault="00173D58" w:rsidP="00173D58">
      <w:pPr>
        <w:rPr>
          <w:rFonts w:ascii="Arial" w:hAnsi="Arial" w:cs="Arial"/>
          <w:i/>
          <w:iCs/>
          <w:sz w:val="22"/>
          <w:szCs w:val="22"/>
        </w:rPr>
      </w:pPr>
    </w:p>
    <w:p w14:paraId="372D6F24" w14:textId="77777777" w:rsidR="00173D58" w:rsidRPr="006B3DF1" w:rsidRDefault="00173D58" w:rsidP="00173D58">
      <w:pPr>
        <w:rPr>
          <w:rFonts w:ascii="Arial" w:hAnsi="Arial" w:cs="Arial"/>
          <w:i/>
          <w:iCs/>
          <w:sz w:val="22"/>
          <w:szCs w:val="22"/>
        </w:rPr>
      </w:pPr>
      <w:r w:rsidRPr="006B3DF1">
        <w:rPr>
          <w:rFonts w:ascii="Arial" w:hAnsi="Arial" w:cs="Arial"/>
          <w:i/>
          <w:iCs/>
          <w:sz w:val="22"/>
          <w:szCs w:val="22"/>
        </w:rPr>
        <w:t xml:space="preserve">Qualitative data analysis </w:t>
      </w:r>
    </w:p>
    <w:p w14:paraId="650D90CB" w14:textId="77777777" w:rsidR="00173D58" w:rsidRPr="006B3DF1" w:rsidRDefault="00173D58" w:rsidP="00173D58">
      <w:pPr>
        <w:rPr>
          <w:rFonts w:ascii="Arial" w:hAnsi="Arial" w:cs="Arial"/>
          <w:i/>
          <w:iCs/>
          <w:sz w:val="22"/>
          <w:szCs w:val="22"/>
        </w:rPr>
      </w:pPr>
    </w:p>
    <w:p w14:paraId="547897FB" w14:textId="3992DF07" w:rsidR="00173D58" w:rsidRPr="006B3DF1" w:rsidRDefault="00173D58" w:rsidP="00173D58">
      <w:pPr>
        <w:ind w:firstLine="720"/>
        <w:rPr>
          <w:rFonts w:ascii="Arial" w:hAnsi="Arial" w:cs="Arial"/>
          <w:sz w:val="22"/>
          <w:szCs w:val="22"/>
        </w:rPr>
      </w:pPr>
      <w:r w:rsidRPr="006B3DF1">
        <w:rPr>
          <w:rFonts w:ascii="Arial" w:hAnsi="Arial" w:cs="Arial"/>
          <w:sz w:val="22"/>
          <w:szCs w:val="22"/>
        </w:rPr>
        <w:lastRenderedPageBreak/>
        <w:t xml:space="preserve">We summarized the key mechanisms of action described for different fluid preservation methods based on the extracted data. For </w:t>
      </w:r>
      <w:r w:rsidR="00AC74AD" w:rsidRPr="006B3DF1">
        <w:rPr>
          <w:rFonts w:ascii="Arial" w:hAnsi="Arial" w:cs="Arial"/>
          <w:sz w:val="22"/>
          <w:szCs w:val="22"/>
        </w:rPr>
        <w:t xml:space="preserve">the fluid preserved tissues stored in aldehyde, to perform </w:t>
      </w:r>
      <w:r w:rsidRPr="006B3DF1">
        <w:rPr>
          <w:rFonts w:ascii="Arial" w:hAnsi="Arial" w:cs="Arial"/>
          <w:sz w:val="22"/>
          <w:szCs w:val="22"/>
        </w:rPr>
        <w:t xml:space="preserve">visualization and summarization </w:t>
      </w:r>
      <w:r w:rsidR="00AC74AD" w:rsidRPr="006B3DF1">
        <w:rPr>
          <w:rFonts w:ascii="Arial" w:hAnsi="Arial" w:cs="Arial"/>
          <w:sz w:val="22"/>
          <w:szCs w:val="22"/>
        </w:rPr>
        <w:t>of the data</w:t>
      </w:r>
      <w:r w:rsidRPr="006B3DF1">
        <w:rPr>
          <w:rFonts w:ascii="Arial" w:hAnsi="Arial" w:cs="Arial"/>
          <w:sz w:val="22"/>
          <w:szCs w:val="22"/>
        </w:rPr>
        <w:t xml:space="preserve">, two raters independently graded each histologic outcome using the following scale: </w:t>
      </w:r>
    </w:p>
    <w:p w14:paraId="316B6907" w14:textId="77777777" w:rsidR="00173D58" w:rsidRPr="006B3DF1" w:rsidRDefault="00173D58" w:rsidP="00173D58">
      <w:pPr>
        <w:ind w:firstLine="720"/>
        <w:rPr>
          <w:rFonts w:ascii="Arial" w:hAnsi="Arial" w:cs="Arial"/>
          <w:sz w:val="22"/>
          <w:szCs w:val="22"/>
        </w:rPr>
      </w:pPr>
      <w:r w:rsidRPr="006B3DF1">
        <w:rPr>
          <w:rFonts w:ascii="Arial" w:hAnsi="Arial" w:cs="Arial"/>
          <w:sz w:val="22"/>
          <w:szCs w:val="22"/>
        </w:rPr>
        <w:t xml:space="preserve"> </w:t>
      </w:r>
    </w:p>
    <w:p w14:paraId="00A8FA27" w14:textId="77777777" w:rsidR="00173D58" w:rsidRPr="006B3DF1" w:rsidRDefault="00173D58" w:rsidP="00173D58">
      <w:pPr>
        <w:pStyle w:val="ListParagraph"/>
        <w:numPr>
          <w:ilvl w:val="0"/>
          <w:numId w:val="2"/>
        </w:numPr>
        <w:rPr>
          <w:rFonts w:ascii="Arial" w:hAnsi="Arial" w:cs="Arial"/>
          <w:sz w:val="22"/>
          <w:szCs w:val="22"/>
        </w:rPr>
      </w:pPr>
      <w:r w:rsidRPr="006B3DF1">
        <w:rPr>
          <w:rFonts w:ascii="Arial" w:hAnsi="Arial" w:cs="Arial"/>
          <w:sz w:val="22"/>
          <w:szCs w:val="22"/>
        </w:rPr>
        <w:t xml:space="preserve">Absent/minimal storage artifact: No or minimal differences of the feature compared to baseline state. Example adjectives might include “no significant change”. </w:t>
      </w:r>
    </w:p>
    <w:p w14:paraId="6D915E04" w14:textId="77777777" w:rsidR="00173D58" w:rsidRPr="006B3DF1" w:rsidRDefault="00173D58" w:rsidP="00173D58">
      <w:pPr>
        <w:pStyle w:val="ListParagraph"/>
        <w:numPr>
          <w:ilvl w:val="0"/>
          <w:numId w:val="2"/>
        </w:numPr>
        <w:rPr>
          <w:rFonts w:ascii="Arial" w:hAnsi="Arial" w:cs="Arial"/>
          <w:sz w:val="22"/>
          <w:szCs w:val="22"/>
        </w:rPr>
      </w:pPr>
      <w:r w:rsidRPr="006B3DF1">
        <w:rPr>
          <w:rFonts w:ascii="Arial" w:hAnsi="Arial" w:cs="Arial"/>
          <w:sz w:val="22"/>
          <w:szCs w:val="22"/>
        </w:rPr>
        <w:t xml:space="preserve">Partial storage artifact: Observable differences of the feature due to changes in the postmortem interval, but not so severe as to render the histologic feature useless. For example, loss of intensity of a label without a significant reported change in localization of the label. Example adjectives might include “unreliable”. </w:t>
      </w:r>
    </w:p>
    <w:p w14:paraId="7CD0B3F7" w14:textId="77777777" w:rsidR="00173D58" w:rsidRPr="006B3DF1" w:rsidRDefault="00173D58" w:rsidP="00173D58">
      <w:pPr>
        <w:pStyle w:val="ListParagraph"/>
        <w:numPr>
          <w:ilvl w:val="0"/>
          <w:numId w:val="2"/>
        </w:numPr>
        <w:rPr>
          <w:rFonts w:ascii="Arial" w:hAnsi="Arial" w:cs="Arial"/>
          <w:sz w:val="22"/>
          <w:szCs w:val="22"/>
        </w:rPr>
      </w:pPr>
      <w:r w:rsidRPr="006B3DF1">
        <w:rPr>
          <w:rFonts w:ascii="Arial" w:hAnsi="Arial" w:cs="Arial"/>
          <w:sz w:val="22"/>
          <w:szCs w:val="22"/>
        </w:rPr>
        <w:t xml:space="preserve">Near-total/total storage artifact: Near-complete or complete inability to appreciate the original state of the feature, making inference of the original state likely impossible with the available data. Example adjectives might include “unable to detect” or “absent”. </w:t>
      </w:r>
    </w:p>
    <w:p w14:paraId="6D950157" w14:textId="77777777" w:rsidR="00173D58" w:rsidRPr="006B3DF1" w:rsidRDefault="00173D58" w:rsidP="00173D58">
      <w:pPr>
        <w:rPr>
          <w:rFonts w:ascii="Arial" w:hAnsi="Arial" w:cs="Arial"/>
          <w:sz w:val="22"/>
          <w:szCs w:val="22"/>
        </w:rPr>
      </w:pPr>
    </w:p>
    <w:p w14:paraId="08615521" w14:textId="7E06219F" w:rsidR="00173D58" w:rsidRPr="006B3DF1" w:rsidRDefault="00173D58" w:rsidP="00173D58">
      <w:pPr>
        <w:ind w:firstLine="720"/>
        <w:rPr>
          <w:rFonts w:ascii="Arial" w:hAnsi="Arial" w:cs="Arial"/>
          <w:sz w:val="22"/>
          <w:szCs w:val="22"/>
        </w:rPr>
      </w:pPr>
      <w:r w:rsidRPr="006B3DF1">
        <w:rPr>
          <w:rFonts w:ascii="Arial" w:hAnsi="Arial" w:cs="Arial"/>
          <w:sz w:val="22"/>
          <w:szCs w:val="22"/>
        </w:rPr>
        <w:t xml:space="preserve">Grading was performed by multiple raters in an independent fashion, similar to our previous review </w:t>
      </w:r>
      <w:r w:rsidRPr="006B3DF1">
        <w:rPr>
          <w:rFonts w:ascii="Arial" w:hAnsi="Arial" w:cs="Arial"/>
          <w:sz w:val="22"/>
          <w:szCs w:val="22"/>
        </w:rPr>
        <w:fldChar w:fldCharType="begin"/>
      </w:r>
      <w:r w:rsidR="007369E2" w:rsidRPr="006B3DF1">
        <w:rPr>
          <w:rFonts w:ascii="Arial" w:hAnsi="Arial" w:cs="Arial"/>
          <w:sz w:val="22"/>
          <w:szCs w:val="22"/>
        </w:rPr>
        <w:instrText xml:space="preserve"> ADDIN ZOTERO_ITEM CSL_CITATION {"citationID":"aa6ia71ohe","properties":{"formattedCitation":"(Krassner et al., 2023)","plainCitation":"(Krassner et al., 2023)","noteIndex":0},"citationItems":[{"id":4210,"uris":["http://zotero.org/users/4526670/items/CEEBAZYF"],"itemData":{"id":4210,"type":"article-journal","abstract":"Brain cell structure is a key determinant of neural function that is frequently altered in neurobiological disorders. Following the global loss of blood flow to the brain that initiates the postmortem interval (PMI), cells rapidly become depleted of energy and begin to decompose. To ensure that our methods for studying the brain using autopsy tissue are robust and reproducible, there is a critical need to delineate the expected changes in brain cell morphometry during the PMI. We searched multiple databases to identify studies measuring the effects of PMI on the morphometry (i.e. external dimensions) of brain cells. We screened 2119 abstracts, 361 full texts, and included 172 studies. Mechanistically, fluid shifts causing cell volume alterations and vacuolization are an early event in the PMI, while the loss of the ability to visualize cell membranes altogether is a later event. Decomposition rates are highly heterogenous and depend on the methods for visualization, the structural feature of interest, and modifying variables such as the storage temperature or the species. Geometrically, deformations of cell membranes are common early events that initiate within minutes. On the other hand, topological relationships between cellular features appear to remain intact for more extended periods. Taken together, there is an uncertain period of time, usually ranging from several hours to several days, over which cell membrane structure is progressively lost. This review may be helpful for investigators studying human postmortem brain tissue, wherein the PMI is an unavoidable aspect of the research.","container-title":"Free Neuropathology","DOI":"10.17879/freeneuropathology-2023-4790","ISSN":"2699-4445","journalAbbreviation":"Free Neuropathol","language":"eng","note":"PMID: 37384330\nPMCID: PMC10294569","page":"4-10","source":"PubMed","title":"Postmortem changes in brain cell structure: a review","title-short":"Postmortem changes in brain cell structure","volume":"4","author":[{"family":"Krassner","given":"Margaret M."},{"family":"Kauffman","given":"Justin"},{"family":"Sowa","given":"Allison"},{"family":"Cialowicz","given":"Katarzyna"},{"family":"Walsh","given":"Samantha"},{"family":"Farrell","given":"Kurt"},{"family":"Crary","given":"John F."},{"family":"McKenzie","given":"Andrew T."}],"issued":{"date-parts":[["2023",1]]},"citation-key":"krassnerPostmortemChangesBrain2023"}}],"schema":"https://github.com/citation-style-language/schema/raw/master/csl-citation.json"} </w:instrText>
      </w:r>
      <w:r w:rsidRPr="006B3DF1">
        <w:rPr>
          <w:rFonts w:ascii="Arial" w:hAnsi="Arial" w:cs="Arial"/>
          <w:sz w:val="22"/>
          <w:szCs w:val="22"/>
        </w:rPr>
        <w:fldChar w:fldCharType="separate"/>
      </w:r>
      <w:r w:rsidR="007369E2" w:rsidRPr="006B3DF1">
        <w:rPr>
          <w:rFonts w:ascii="Arial" w:hAnsi="Arial" w:cs="Arial"/>
          <w:sz w:val="22"/>
          <w:szCs w:val="22"/>
        </w:rPr>
        <w:t>(Krassner et al., 2023)</w:t>
      </w:r>
      <w:r w:rsidRPr="006B3DF1">
        <w:rPr>
          <w:rFonts w:ascii="Arial" w:hAnsi="Arial" w:cs="Arial"/>
          <w:sz w:val="22"/>
          <w:szCs w:val="22"/>
        </w:rPr>
        <w:fldChar w:fldCharType="end"/>
      </w:r>
      <w:r w:rsidRPr="006B3DF1">
        <w:rPr>
          <w:rFonts w:ascii="Arial" w:hAnsi="Arial" w:cs="Arial"/>
          <w:sz w:val="22"/>
          <w:szCs w:val="22"/>
        </w:rPr>
        <w:t xml:space="preserve">. For each observation, one rater reviewed the full text of the study, while other raters reviewed the extracted decomposition outcome, referring to the full text where needed for context. A pilot round of grading was performed with all the raters using multiple representative studies to ensure that the raters were using the same general framework. The interrater reliability of the grades was calculated with the intraclass correlation (ICC) statistic, specifically using a single-rating, absolute-agreement, two-way random-effects model. Grades discussed in the pilot round of grading were not included in the interrater reliability calculation. The ICC value and its 95% confidence interval was interpreted based on the guidelines of Koo and Li </w:t>
      </w:r>
      <w:r w:rsidR="00A04EAA">
        <w:rPr>
          <w:rFonts w:ascii="Arial" w:hAnsi="Arial" w:cs="Arial"/>
          <w:sz w:val="22"/>
          <w:szCs w:val="22"/>
        </w:rPr>
        <w:fldChar w:fldCharType="begin"/>
      </w:r>
      <w:r w:rsidR="00A04EAA">
        <w:rPr>
          <w:rFonts w:ascii="Arial" w:hAnsi="Arial" w:cs="Arial"/>
          <w:sz w:val="22"/>
          <w:szCs w:val="22"/>
        </w:rPr>
        <w:instrText xml:space="preserve"> ADDIN ZOTERO_ITEM CSL_CITATION {"citationID":"3Gz1V0cj","properties":{"formattedCitation":"(Koo and Li, 2016)","plainCitation":"(Koo and Li, 2016)","noteIndex":0},"citationItems":[{"id":1165,"uris":["http://zotero.org/users/4526670/items/T9WDBJMP"],"itemData":{"id":1165,"type":"article-journal","abstract":"Objective\nIntraclass correlation coefficient (ICC) is a widely used reliability index in test-retest, intrarater, and interrater reliability analyses. This article introduces the basic concept of ICC in the content of reliability analysis.\n\nDiscussion for Researchers\nThere are 10 forms of ICCs. Because each form involves distinct assumptions in their calculation and will lead to different interpretations, researchers should explicitly specify the ICC form they used in their calculation. A thorough review of the research design is needed in selecting the appropriate form of ICC to evaluate reliability. The best practice of reporting ICC should include software information, “model,” “type,” and “definition” selections.\n\nDiscussion for Readers\nWhen coming across an article that includes ICC, readers should first check whether information about the ICC form has been reported and if an appropriate ICC form was used. Based on the 95% confident interval of the ICC estimate, values less than 0.5, between 0.5 and 0.75, between 0.75 and 0.9, and greater than 0.90 are indicative of poor, moderate, good, and excellent reliability, respectively.\n\nConclusion\nThis article provides a practical guideline for clinical researchers to choose the correct form of ICC and suggests the best practice of reporting ICC parameters in scientific publications. This article also gives readers an appreciation for what to look for when coming across ICC while reading an article.","container-title":"Journal of Chiropractic Medicine","DOI":"10.1016/j.jcm.2016.02.012","ISSN":"1556-3707","issue":"2","journalAbbreviation":"J Chiropr Med","note":"PMID: 27330520\nPMCID: PMC4913118","page":"155-163","source":"PubMed Central","title":"A Guideline of Selecting and Reporting Intraclass Correlation Coefficients for Reliability Research","volume":"15","author":[{"family":"Koo","given":"Terry K."},{"family":"Li","given":"Mae Y."}],"issued":{"date-parts":[["2016",6]]},"citation-key":"kooGuidelineSelectingReporting2016"}}],"schema":"https://github.com/citation-style-language/schema/raw/master/csl-citation.json"} </w:instrText>
      </w:r>
      <w:r w:rsidR="00A04EAA">
        <w:rPr>
          <w:rFonts w:ascii="Arial" w:hAnsi="Arial" w:cs="Arial"/>
          <w:sz w:val="22"/>
          <w:szCs w:val="22"/>
        </w:rPr>
        <w:fldChar w:fldCharType="separate"/>
      </w:r>
      <w:r w:rsidR="00A04EAA">
        <w:rPr>
          <w:rFonts w:ascii="Arial" w:hAnsi="Arial" w:cs="Arial"/>
          <w:noProof/>
          <w:sz w:val="22"/>
          <w:szCs w:val="22"/>
        </w:rPr>
        <w:t>(Koo and Li, 2016)</w:t>
      </w:r>
      <w:r w:rsidR="00A04EAA">
        <w:rPr>
          <w:rFonts w:ascii="Arial" w:hAnsi="Arial" w:cs="Arial"/>
          <w:sz w:val="22"/>
          <w:szCs w:val="22"/>
        </w:rPr>
        <w:fldChar w:fldCharType="end"/>
      </w:r>
      <w:r w:rsidRPr="006B3DF1">
        <w:rPr>
          <w:rFonts w:ascii="Arial" w:hAnsi="Arial" w:cs="Arial"/>
          <w:sz w:val="22"/>
          <w:szCs w:val="22"/>
        </w:rPr>
        <w:t xml:space="preserve">. For determining the final grade, if there was a discrepancy between the first two grades, then the final grade was decided by coming to a consensus between them. </w:t>
      </w:r>
    </w:p>
    <w:p w14:paraId="52ACB6CE" w14:textId="77777777" w:rsidR="00111812" w:rsidRPr="006B3DF1" w:rsidRDefault="00111812" w:rsidP="00111812">
      <w:pPr>
        <w:rPr>
          <w:rFonts w:ascii="Arial" w:hAnsi="Arial" w:cs="Arial"/>
          <w:sz w:val="22"/>
          <w:szCs w:val="22"/>
        </w:rPr>
      </w:pPr>
    </w:p>
    <w:p w14:paraId="2E3A520C" w14:textId="0EBD2271" w:rsidR="00111812" w:rsidRPr="006B3DF1" w:rsidRDefault="004A2071" w:rsidP="00111812">
      <w:pPr>
        <w:rPr>
          <w:rFonts w:ascii="Arial" w:hAnsi="Arial" w:cs="Arial"/>
          <w:i/>
          <w:iCs/>
          <w:sz w:val="22"/>
          <w:szCs w:val="22"/>
        </w:rPr>
      </w:pPr>
      <w:r w:rsidRPr="006B3DF1">
        <w:rPr>
          <w:rFonts w:ascii="Arial" w:hAnsi="Arial" w:cs="Arial"/>
          <w:i/>
          <w:iCs/>
          <w:sz w:val="22"/>
          <w:szCs w:val="22"/>
        </w:rPr>
        <w:t xml:space="preserve">Gross examination of brain tissue </w:t>
      </w:r>
      <w:r w:rsidR="007F46CF" w:rsidRPr="006B3DF1">
        <w:rPr>
          <w:rFonts w:ascii="Arial" w:hAnsi="Arial" w:cs="Arial"/>
          <w:i/>
          <w:iCs/>
          <w:sz w:val="22"/>
          <w:szCs w:val="22"/>
        </w:rPr>
        <w:t xml:space="preserve">stored in </w:t>
      </w:r>
      <w:r w:rsidR="00B42BC9" w:rsidRPr="006B3DF1">
        <w:rPr>
          <w:rFonts w:ascii="Arial" w:hAnsi="Arial" w:cs="Arial"/>
          <w:i/>
          <w:iCs/>
          <w:sz w:val="22"/>
          <w:szCs w:val="22"/>
        </w:rPr>
        <w:t>fluid</w:t>
      </w:r>
      <w:r w:rsidR="00B22577" w:rsidRPr="006B3DF1">
        <w:rPr>
          <w:rFonts w:ascii="Arial" w:hAnsi="Arial" w:cs="Arial"/>
          <w:i/>
          <w:iCs/>
          <w:sz w:val="22"/>
          <w:szCs w:val="22"/>
        </w:rPr>
        <w:t xml:space="preserve"> </w:t>
      </w:r>
      <w:proofErr w:type="gramStart"/>
      <w:r w:rsidR="00B22577" w:rsidRPr="006B3DF1">
        <w:rPr>
          <w:rFonts w:ascii="Arial" w:hAnsi="Arial" w:cs="Arial"/>
          <w:i/>
          <w:iCs/>
          <w:sz w:val="22"/>
          <w:szCs w:val="22"/>
        </w:rPr>
        <w:t>preservative</w:t>
      </w:r>
      <w:proofErr w:type="gramEnd"/>
    </w:p>
    <w:p w14:paraId="6EDBEC90" w14:textId="77777777" w:rsidR="004A2071" w:rsidRPr="006B3DF1" w:rsidRDefault="004A2071" w:rsidP="00111812">
      <w:pPr>
        <w:rPr>
          <w:rFonts w:ascii="Arial" w:hAnsi="Arial" w:cs="Arial"/>
          <w:sz w:val="22"/>
          <w:szCs w:val="22"/>
        </w:rPr>
      </w:pPr>
    </w:p>
    <w:p w14:paraId="5F80F810" w14:textId="13A012A4" w:rsidR="004A2071" w:rsidRPr="006B3DF1" w:rsidRDefault="004A2071" w:rsidP="004A2071">
      <w:pPr>
        <w:ind w:firstLine="720"/>
        <w:rPr>
          <w:rFonts w:ascii="Arial" w:hAnsi="Arial" w:cs="Arial"/>
          <w:sz w:val="22"/>
          <w:szCs w:val="22"/>
        </w:rPr>
      </w:pPr>
      <w:r w:rsidRPr="006B3DF1">
        <w:rPr>
          <w:rFonts w:ascii="Arial" w:hAnsi="Arial" w:cs="Arial"/>
          <w:sz w:val="22"/>
          <w:szCs w:val="22"/>
        </w:rPr>
        <w:t>The brain tissue used for gross examination was obtained and de-identified at the Icahn School of Medicine at Mount Sinai in accordance with its policies, regulations, and institutional review board recommendations. Photos were taken with a digital camera and photo brightness was adjusted to ensure visual consistency across samples.</w:t>
      </w:r>
    </w:p>
    <w:bookmarkEnd w:id="2"/>
    <w:bookmarkEnd w:id="3"/>
    <w:p w14:paraId="5F899AEB" w14:textId="77777777" w:rsidR="00F81542" w:rsidRPr="006B3DF1" w:rsidRDefault="00F81542" w:rsidP="004A2071">
      <w:pPr>
        <w:ind w:firstLine="720"/>
        <w:rPr>
          <w:rFonts w:ascii="Arial" w:hAnsi="Arial" w:cs="Arial"/>
          <w:sz w:val="22"/>
          <w:szCs w:val="22"/>
        </w:rPr>
      </w:pPr>
    </w:p>
    <w:p w14:paraId="13D430B5" w14:textId="1539FE3B" w:rsidR="007369E2" w:rsidRPr="006B3DF1" w:rsidRDefault="00F81542" w:rsidP="004A2071">
      <w:pPr>
        <w:rPr>
          <w:rFonts w:ascii="Arial" w:hAnsi="Arial" w:cs="Arial"/>
          <w:i/>
          <w:iCs/>
          <w:sz w:val="22"/>
          <w:szCs w:val="22"/>
        </w:rPr>
      </w:pPr>
      <w:r w:rsidRPr="006B3DF1">
        <w:rPr>
          <w:rFonts w:ascii="Arial" w:hAnsi="Arial" w:cs="Arial"/>
          <w:i/>
          <w:iCs/>
          <w:sz w:val="22"/>
          <w:szCs w:val="22"/>
        </w:rPr>
        <w:t>Differences between the protocol and the review</w:t>
      </w:r>
    </w:p>
    <w:p w14:paraId="20B895E4" w14:textId="77777777" w:rsidR="00F81542" w:rsidRPr="006B3DF1" w:rsidRDefault="00F81542" w:rsidP="004A2071">
      <w:pPr>
        <w:rPr>
          <w:rFonts w:ascii="Arial" w:hAnsi="Arial" w:cs="Arial"/>
          <w:sz w:val="22"/>
          <w:szCs w:val="22"/>
        </w:rPr>
      </w:pPr>
    </w:p>
    <w:p w14:paraId="0F2921A3" w14:textId="593B5686" w:rsidR="00F81542" w:rsidRPr="006B3DF1" w:rsidRDefault="00AC74AD" w:rsidP="00AC74AD">
      <w:pPr>
        <w:ind w:firstLine="720"/>
        <w:rPr>
          <w:rFonts w:ascii="Arial" w:hAnsi="Arial" w:cs="Arial"/>
          <w:sz w:val="22"/>
          <w:szCs w:val="22"/>
        </w:rPr>
      </w:pPr>
      <w:bookmarkStart w:id="4" w:name="OLE_LINK88"/>
      <w:bookmarkStart w:id="5" w:name="OLE_LINK89"/>
      <w:r w:rsidRPr="006B3DF1">
        <w:rPr>
          <w:rFonts w:ascii="Arial" w:hAnsi="Arial" w:cs="Arial"/>
          <w:sz w:val="22"/>
          <w:szCs w:val="22"/>
        </w:rPr>
        <w:t>We categorized the included studies into five types of chemicals used for fluid preservation, providing a more granular analysis of the preservation methods. We</w:t>
      </w:r>
      <w:r w:rsidR="00F47475" w:rsidRPr="006B3DF1">
        <w:rPr>
          <w:rFonts w:ascii="Arial" w:hAnsi="Arial" w:cs="Arial"/>
          <w:sz w:val="22"/>
          <w:szCs w:val="22"/>
        </w:rPr>
        <w:t xml:space="preserve"> only performed </w:t>
      </w:r>
      <w:r w:rsidR="003E1508" w:rsidRPr="006B3DF1">
        <w:rPr>
          <w:rFonts w:ascii="Arial" w:hAnsi="Arial" w:cs="Arial"/>
          <w:sz w:val="22"/>
          <w:szCs w:val="22"/>
        </w:rPr>
        <w:t>qualitative data analysis for the studies</w:t>
      </w:r>
      <w:r w:rsidR="00B71CB1" w:rsidRPr="006B3DF1">
        <w:rPr>
          <w:rFonts w:ascii="Arial" w:hAnsi="Arial" w:cs="Arial"/>
          <w:sz w:val="22"/>
          <w:szCs w:val="22"/>
        </w:rPr>
        <w:t xml:space="preserve"> reporting aldehyde preservation</w:t>
      </w:r>
      <w:r w:rsidR="00F47475" w:rsidRPr="006B3DF1">
        <w:rPr>
          <w:rFonts w:ascii="Arial" w:hAnsi="Arial" w:cs="Arial"/>
          <w:sz w:val="22"/>
          <w:szCs w:val="22"/>
        </w:rPr>
        <w:t xml:space="preserve">, because this was the only category </w:t>
      </w:r>
      <w:r w:rsidR="00E02FFE" w:rsidRPr="006B3DF1">
        <w:rPr>
          <w:rFonts w:ascii="Arial" w:hAnsi="Arial" w:cs="Arial"/>
          <w:sz w:val="22"/>
          <w:szCs w:val="22"/>
        </w:rPr>
        <w:t xml:space="preserve">that had a sufficient sample size to </w:t>
      </w:r>
      <w:r w:rsidR="00CF1AC8" w:rsidRPr="006B3DF1">
        <w:rPr>
          <w:rFonts w:ascii="Arial" w:hAnsi="Arial" w:cs="Arial"/>
          <w:sz w:val="22"/>
          <w:szCs w:val="22"/>
        </w:rPr>
        <w:t>allow for</w:t>
      </w:r>
      <w:r w:rsidR="00E02FFE" w:rsidRPr="006B3DF1">
        <w:rPr>
          <w:rFonts w:ascii="Arial" w:hAnsi="Arial" w:cs="Arial"/>
          <w:sz w:val="22"/>
          <w:szCs w:val="22"/>
        </w:rPr>
        <w:t xml:space="preserve"> </w:t>
      </w:r>
      <w:r w:rsidR="00E13CFA" w:rsidRPr="006B3DF1">
        <w:rPr>
          <w:rFonts w:ascii="Arial" w:hAnsi="Arial" w:cs="Arial"/>
          <w:sz w:val="22"/>
          <w:szCs w:val="22"/>
        </w:rPr>
        <w:t xml:space="preserve">useful </w:t>
      </w:r>
      <w:r w:rsidR="00E02FFE" w:rsidRPr="006B3DF1">
        <w:rPr>
          <w:rFonts w:ascii="Arial" w:hAnsi="Arial" w:cs="Arial"/>
          <w:sz w:val="22"/>
          <w:szCs w:val="22"/>
        </w:rPr>
        <w:t>summarization and visualization</w:t>
      </w:r>
      <w:r w:rsidR="00F47475" w:rsidRPr="006B3DF1">
        <w:rPr>
          <w:rFonts w:ascii="Arial" w:hAnsi="Arial" w:cs="Arial"/>
          <w:sz w:val="22"/>
          <w:szCs w:val="22"/>
        </w:rPr>
        <w:t xml:space="preserve">. We </w:t>
      </w:r>
      <w:r w:rsidR="00D25D9D" w:rsidRPr="006B3DF1">
        <w:rPr>
          <w:rFonts w:ascii="Arial" w:hAnsi="Arial" w:cs="Arial"/>
          <w:sz w:val="22"/>
          <w:szCs w:val="22"/>
        </w:rPr>
        <w:t xml:space="preserve">also </w:t>
      </w:r>
      <w:r w:rsidR="00F47475" w:rsidRPr="006B3DF1">
        <w:rPr>
          <w:rFonts w:ascii="Arial" w:hAnsi="Arial" w:cs="Arial"/>
          <w:sz w:val="22"/>
          <w:szCs w:val="22"/>
        </w:rPr>
        <w:t>included a gross examination of brain tissue stored</w:t>
      </w:r>
      <w:r w:rsidR="00021042" w:rsidRPr="006B3DF1">
        <w:rPr>
          <w:rFonts w:ascii="Arial" w:hAnsi="Arial" w:cs="Arial"/>
          <w:sz w:val="22"/>
          <w:szCs w:val="22"/>
        </w:rPr>
        <w:t xml:space="preserve"> for several years in fluid</w:t>
      </w:r>
      <w:r w:rsidR="00F47475" w:rsidRPr="006B3DF1">
        <w:rPr>
          <w:rFonts w:ascii="Arial" w:hAnsi="Arial" w:cs="Arial"/>
          <w:sz w:val="22"/>
          <w:szCs w:val="22"/>
        </w:rPr>
        <w:t xml:space="preserve">. </w:t>
      </w:r>
    </w:p>
    <w:bookmarkEnd w:id="4"/>
    <w:bookmarkEnd w:id="5"/>
    <w:p w14:paraId="61533B35" w14:textId="77777777" w:rsidR="00F81542" w:rsidRPr="006B3DF1" w:rsidRDefault="00F81542" w:rsidP="004A2071">
      <w:pPr>
        <w:rPr>
          <w:rFonts w:ascii="Arial" w:hAnsi="Arial" w:cs="Arial"/>
          <w:sz w:val="22"/>
          <w:szCs w:val="22"/>
        </w:rPr>
      </w:pPr>
    </w:p>
    <w:p w14:paraId="6B4ABBB5" w14:textId="13C6DFCB" w:rsidR="007369E2" w:rsidRPr="006B3DF1" w:rsidRDefault="007369E2" w:rsidP="007369E2">
      <w:pPr>
        <w:rPr>
          <w:rFonts w:ascii="Arial" w:hAnsi="Arial" w:cs="Arial"/>
          <w:b/>
          <w:bCs/>
          <w:sz w:val="22"/>
          <w:szCs w:val="22"/>
        </w:rPr>
      </w:pPr>
      <w:r w:rsidRPr="006B3DF1">
        <w:rPr>
          <w:rFonts w:ascii="Arial" w:hAnsi="Arial" w:cs="Arial"/>
          <w:b/>
          <w:bCs/>
          <w:sz w:val="22"/>
          <w:szCs w:val="22"/>
        </w:rPr>
        <w:t>References</w:t>
      </w:r>
    </w:p>
    <w:p w14:paraId="1E26F398" w14:textId="77777777" w:rsidR="007369E2" w:rsidRPr="006B3DF1" w:rsidRDefault="007369E2" w:rsidP="007369E2">
      <w:pPr>
        <w:rPr>
          <w:rFonts w:ascii="Arial" w:hAnsi="Arial" w:cs="Arial"/>
          <w:sz w:val="22"/>
          <w:szCs w:val="22"/>
        </w:rPr>
      </w:pPr>
    </w:p>
    <w:p w14:paraId="55648459" w14:textId="77777777" w:rsidR="00A04EAA" w:rsidRPr="00A04EAA" w:rsidRDefault="007369E2" w:rsidP="00A04EAA">
      <w:pPr>
        <w:pStyle w:val="Bibliography"/>
        <w:rPr>
          <w:rFonts w:ascii="Arial" w:hAnsi="Arial" w:cs="Arial"/>
          <w:sz w:val="22"/>
        </w:rPr>
      </w:pPr>
      <w:r w:rsidRPr="006B3DF1">
        <w:rPr>
          <w:rFonts w:ascii="Arial" w:hAnsi="Arial" w:cs="Arial"/>
          <w:sz w:val="22"/>
          <w:szCs w:val="22"/>
        </w:rPr>
        <w:fldChar w:fldCharType="begin"/>
      </w:r>
      <w:r w:rsidRPr="006B3DF1">
        <w:rPr>
          <w:rFonts w:ascii="Arial" w:hAnsi="Arial" w:cs="Arial"/>
          <w:sz w:val="22"/>
          <w:szCs w:val="22"/>
        </w:rPr>
        <w:instrText xml:space="preserve"> ADDIN ZOTERO_BIBL {"uncited":[],"omitted":[],"custom":[]} CSL_BIBLIOGRAPHY </w:instrText>
      </w:r>
      <w:r w:rsidRPr="006B3DF1">
        <w:rPr>
          <w:rFonts w:ascii="Arial" w:hAnsi="Arial" w:cs="Arial"/>
          <w:sz w:val="22"/>
          <w:szCs w:val="22"/>
        </w:rPr>
        <w:fldChar w:fldCharType="separate"/>
      </w:r>
      <w:r w:rsidR="00A04EAA" w:rsidRPr="00A04EAA">
        <w:rPr>
          <w:rFonts w:ascii="Arial" w:hAnsi="Arial" w:cs="Arial"/>
          <w:sz w:val="22"/>
        </w:rPr>
        <w:t>Bozada, T., Borden, J., Workman, J., Del Cid, M., Malinowski, J., Luechtefeld, T., 2021. Sysrev: A FAIR Platform for Data Curation and Systematic Evidence Review. Front. Artif. Intell. 4, 685298. https://doi.org/10.3389/frai.2021.685298</w:t>
      </w:r>
    </w:p>
    <w:p w14:paraId="0C36248D" w14:textId="77777777" w:rsidR="00A04EAA" w:rsidRPr="00A04EAA" w:rsidRDefault="00A04EAA" w:rsidP="00A04EAA">
      <w:pPr>
        <w:pStyle w:val="Bibliography"/>
        <w:rPr>
          <w:rFonts w:ascii="Arial" w:hAnsi="Arial" w:cs="Arial"/>
          <w:sz w:val="22"/>
        </w:rPr>
      </w:pPr>
      <w:r w:rsidRPr="00A04EAA">
        <w:rPr>
          <w:rFonts w:ascii="Arial" w:hAnsi="Arial" w:cs="Arial"/>
          <w:sz w:val="22"/>
        </w:rPr>
        <w:lastRenderedPageBreak/>
        <w:t>Koo, T.K., Li, M.Y., 2016. A Guideline of Selecting and Reporting Intraclass Correlation Coefficients for Reliability Research. J. Chiropr. Med. 15, 155–163. https://doi.org/10.1016/j.jcm.2016.02.012</w:t>
      </w:r>
    </w:p>
    <w:p w14:paraId="1424DD03" w14:textId="77777777" w:rsidR="00A04EAA" w:rsidRPr="00A04EAA" w:rsidRDefault="00A04EAA" w:rsidP="00A04EAA">
      <w:pPr>
        <w:pStyle w:val="Bibliography"/>
        <w:rPr>
          <w:rFonts w:ascii="Arial" w:hAnsi="Arial" w:cs="Arial"/>
          <w:sz w:val="22"/>
        </w:rPr>
      </w:pPr>
      <w:r w:rsidRPr="00A04EAA">
        <w:rPr>
          <w:rFonts w:ascii="Arial" w:hAnsi="Arial" w:cs="Arial"/>
          <w:sz w:val="22"/>
        </w:rPr>
        <w:t>Krassner, M.M., Kauffman, J., Sowa, A., Cialowicz, K., Walsh, S., Farrell, K., Crary, J.F., McKenzie, A.T., 2023. Postmortem changes in brain cell structure: a review. Free Neuropathol. 4, 4–10. https://doi.org/10.17879/freeneuropathology-2023-4790</w:t>
      </w:r>
    </w:p>
    <w:p w14:paraId="76A9B541" w14:textId="1CC41151" w:rsidR="007369E2" w:rsidRPr="006B3DF1" w:rsidRDefault="007369E2" w:rsidP="007369E2">
      <w:pPr>
        <w:rPr>
          <w:rFonts w:ascii="Arial" w:hAnsi="Arial" w:cs="Arial"/>
          <w:sz w:val="22"/>
          <w:szCs w:val="22"/>
        </w:rPr>
      </w:pPr>
      <w:r w:rsidRPr="006B3DF1">
        <w:rPr>
          <w:rFonts w:ascii="Arial" w:hAnsi="Arial" w:cs="Arial"/>
          <w:sz w:val="22"/>
          <w:szCs w:val="22"/>
        </w:rPr>
        <w:fldChar w:fldCharType="end"/>
      </w:r>
    </w:p>
    <w:p w14:paraId="1148DB69" w14:textId="77777777" w:rsidR="00215795" w:rsidRPr="006B3DF1" w:rsidRDefault="00215795">
      <w:pPr>
        <w:rPr>
          <w:sz w:val="22"/>
          <w:szCs w:val="22"/>
        </w:rPr>
      </w:pPr>
    </w:p>
    <w:sectPr w:rsidR="00215795" w:rsidRPr="006B3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84C3E"/>
    <w:multiLevelType w:val="hybridMultilevel"/>
    <w:tmpl w:val="67685C74"/>
    <w:lvl w:ilvl="0" w:tplc="7188CB22">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1D1220"/>
    <w:multiLevelType w:val="hybridMultilevel"/>
    <w:tmpl w:val="BBDA49E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178366">
    <w:abstractNumId w:val="0"/>
  </w:num>
  <w:num w:numId="2" w16cid:durableId="1827551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D4"/>
    <w:rsid w:val="00021042"/>
    <w:rsid w:val="00022A88"/>
    <w:rsid w:val="000A643E"/>
    <w:rsid w:val="000B7358"/>
    <w:rsid w:val="000E4E69"/>
    <w:rsid w:val="0010538F"/>
    <w:rsid w:val="00111812"/>
    <w:rsid w:val="00173D58"/>
    <w:rsid w:val="00215795"/>
    <w:rsid w:val="003275D4"/>
    <w:rsid w:val="0032770A"/>
    <w:rsid w:val="00392CF0"/>
    <w:rsid w:val="003935B0"/>
    <w:rsid w:val="003E1508"/>
    <w:rsid w:val="00416179"/>
    <w:rsid w:val="004A2071"/>
    <w:rsid w:val="004C3DC4"/>
    <w:rsid w:val="0052025C"/>
    <w:rsid w:val="00522D66"/>
    <w:rsid w:val="005C4539"/>
    <w:rsid w:val="006B3DF1"/>
    <w:rsid w:val="007369E2"/>
    <w:rsid w:val="007A10F9"/>
    <w:rsid w:val="007D1C19"/>
    <w:rsid w:val="007F46CF"/>
    <w:rsid w:val="00A04EAA"/>
    <w:rsid w:val="00AC74AD"/>
    <w:rsid w:val="00B22577"/>
    <w:rsid w:val="00B225E1"/>
    <w:rsid w:val="00B42BC9"/>
    <w:rsid w:val="00B55A0E"/>
    <w:rsid w:val="00B71CB1"/>
    <w:rsid w:val="00B73CB7"/>
    <w:rsid w:val="00C80D72"/>
    <w:rsid w:val="00CF1AC8"/>
    <w:rsid w:val="00D25D9D"/>
    <w:rsid w:val="00E0186D"/>
    <w:rsid w:val="00E02FFE"/>
    <w:rsid w:val="00E13CFA"/>
    <w:rsid w:val="00E856E4"/>
    <w:rsid w:val="00F47475"/>
    <w:rsid w:val="00F8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00DDFB"/>
  <w15:chartTrackingRefBased/>
  <w15:docId w15:val="{B783C43E-3E68-8A48-B39C-27C22E5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D58"/>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D58"/>
    <w:pPr>
      <w:ind w:left="720"/>
      <w:contextualSpacing/>
    </w:pPr>
    <w:rPr>
      <w:rFonts w:asciiTheme="minorHAnsi" w:eastAsiaTheme="minorHAnsi" w:hAnsiTheme="minorHAnsi" w:cstheme="minorBidi"/>
    </w:rPr>
  </w:style>
  <w:style w:type="paragraph" w:styleId="Bibliography">
    <w:name w:val="Bibliography"/>
    <w:basedOn w:val="Normal"/>
    <w:next w:val="Normal"/>
    <w:uiPriority w:val="37"/>
    <w:unhideWhenUsed/>
    <w:rsid w:val="007369E2"/>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5114">
      <w:bodyDiv w:val="1"/>
      <w:marLeft w:val="0"/>
      <w:marRight w:val="0"/>
      <w:marTop w:val="0"/>
      <w:marBottom w:val="0"/>
      <w:divBdr>
        <w:top w:val="none" w:sz="0" w:space="0" w:color="auto"/>
        <w:left w:val="none" w:sz="0" w:space="0" w:color="auto"/>
        <w:bottom w:val="none" w:sz="0" w:space="0" w:color="auto"/>
        <w:right w:val="none" w:sz="0" w:space="0" w:color="auto"/>
      </w:divBdr>
      <w:divsChild>
        <w:div w:id="1460762567">
          <w:marLeft w:val="0"/>
          <w:marRight w:val="0"/>
          <w:marTop w:val="0"/>
          <w:marBottom w:val="0"/>
          <w:divBdr>
            <w:top w:val="none" w:sz="0" w:space="0" w:color="auto"/>
            <w:left w:val="none" w:sz="0" w:space="0" w:color="auto"/>
            <w:bottom w:val="none" w:sz="0" w:space="0" w:color="auto"/>
            <w:right w:val="none" w:sz="0" w:space="0" w:color="auto"/>
          </w:divBdr>
        </w:div>
        <w:div w:id="1174417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2214-E3D5-0948-81C0-720A21E3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2280</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McKenzie</dc:creator>
  <cp:keywords/>
  <dc:description/>
  <cp:lastModifiedBy>Andy McKenzie</cp:lastModifiedBy>
  <cp:revision>35</cp:revision>
  <dcterms:created xsi:type="dcterms:W3CDTF">2023-07-27T23:15:00Z</dcterms:created>
  <dcterms:modified xsi:type="dcterms:W3CDTF">2024-02-12T18:35:00Z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id="UQz6c4KP"/&gt;&lt;style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